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36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9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9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1</w:t>
      </w:r>
      <w:r>
        <w:rPr>
          <w:rFonts w:ascii="Times New Roman" w:hAnsi="Times New Roman"/>
          <w:caps/>
          <w:sz w:val="24"/>
          <w:szCs w:val="24"/>
        </w:rPr>
      </w:r>
    </w:p>
    <w:p>
      <w:pPr>
        <w:pStyle w:val="1036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цен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36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только субъекты МСП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spacing w:line="240" w:lineRule="auto"/>
      </w:pPr>
      <w:r/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 (место нахождения и почтовый адрес: 620026, г. Екатеринбург, ул. Мамина-</w:t>
      </w:r>
      <w:r>
        <w:rPr>
          <w:sz w:val="24"/>
          <w:szCs w:val="24"/>
        </w:rPr>
        <w:t xml:space="preserve">Сибиряка, 140), настоящим приглашает к участию в сравнении цен в электронной форме (далее – закупка, сравнение цен), юридических, физических лиц, в том числе </w:t>
      </w:r>
      <w:r>
        <w:rPr>
          <w:sz w:val="24"/>
          <w:szCs w:val="24"/>
        </w:rPr>
        <w:t xml:space="preserve">индивидуальн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предпринимателей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Участников), </w:t>
      </w:r>
      <w:r>
        <w:rPr>
          <w:b/>
          <w:sz w:val="24"/>
          <w:szCs w:val="24"/>
        </w:rPr>
        <w:t xml:space="preserve">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 иностранным влиянием"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 xml:space="preserve">участниками которого могут быть только субъекты МСП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 xml:space="preserve">з</w:t>
      </w:r>
      <w:r>
        <w:rPr>
          <w:b/>
          <w:bCs/>
          <w:sz w:val="24"/>
          <w:szCs w:val="24"/>
        </w:rPr>
        <w:t xml:space="preserve">акупки</w:t>
      </w:r>
      <w:r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 xml:space="preserve">Право заключения договора на оказание услуг по утилизации отходов 3 кл. опасности (ветошь, фильтры) для   ПО Западные ЭС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</w:rPr>
        <w:t xml:space="preserve">опубликовано: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электронной торговой площадки</w:t>
      </w:r>
      <w:r>
        <w:rPr>
          <w:sz w:val="24"/>
          <w:szCs w:val="24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u w:val="single"/>
        </w:rPr>
        <w:t xml:space="preserve">https://</w:t>
      </w:r>
      <w:r>
        <w:rPr>
          <w:b/>
          <w:color w:val="0000ff"/>
          <w:sz w:val="24"/>
          <w:u w:val="single"/>
          <w:lang w:val="en-US"/>
        </w:rPr>
        <w:t xml:space="preserve">tender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  <w:lang w:val="en-US"/>
        </w:rPr>
        <w:t xml:space="preserve">lot</w:t>
      </w:r>
      <w:r>
        <w:rPr>
          <w:b/>
          <w:color w:val="0000ff"/>
          <w:sz w:val="24"/>
          <w:u w:val="single"/>
        </w:rPr>
        <w:t xml:space="preserve">-</w:t>
      </w:r>
      <w:r>
        <w:rPr>
          <w:b/>
          <w:color w:val="0000ff"/>
          <w:sz w:val="24"/>
          <w:u w:val="single"/>
          <w:lang w:val="en-US"/>
        </w:rPr>
        <w:t xml:space="preserve">online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извещение №</w:t>
      </w:r>
      <w:r>
        <w:rPr>
          <w:b/>
          <w:sz w:val="24"/>
          <w:szCs w:val="24"/>
        </w:rPr>
        <w:t xml:space="preserve">RAD260037338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30.07</w:t>
      </w:r>
      <w:r>
        <w:rPr>
          <w:b/>
          <w:sz w:val="24"/>
          <w:szCs w:val="24"/>
        </w:rPr>
        <w:t xml:space="preserve">.2026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г.</w:t>
      </w:r>
      <w:r>
        <w:rPr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03"/>
        <w:numPr>
          <w:ilvl w:val="0"/>
          <w:numId w:val="4"/>
        </w:numPr>
        <w:ind w:left="0" w:firstLine="709"/>
        <w:jc w:val="both"/>
        <w:spacing w:line="240" w:lineRule="auto"/>
        <w:widowControl w:val="off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Сравнение цен проводится на ЭТП с использованием ее функционала.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Подробное описание закупаемых товаров, работ, услуг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условий Договора, в том числе наличие требований по обеспечению 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сполнения обязательств договора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,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содержится в Техническом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  <w:lang w:val="ru-RU" w:eastAsia="ru-RU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Начальная</w:t>
      </w:r>
      <w:r>
        <w:rPr>
          <w:color w:val="000000"/>
          <w:sz w:val="24"/>
          <w:szCs w:val="24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20 232,00</w:t>
      </w:r>
      <w:r>
        <w:rPr>
          <w:b/>
          <w:bCs/>
          <w:color w:val="000000"/>
          <w:sz w:val="24"/>
          <w:szCs w:val="24"/>
          <w:highlight w:val="yellow"/>
        </w:rPr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р</w:t>
      </w:r>
      <w:r>
        <w:rPr>
          <w:b/>
          <w:color w:val="000000"/>
          <w:sz w:val="24"/>
          <w:szCs w:val="24"/>
          <w:highlight w:val="yellow"/>
        </w:rPr>
        <w:t xml:space="preserve">уб. с НДС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В цену лота включены все затраты, накладные расходы, налоги, пошлины, таможенные платежи, с</w:t>
      </w:r>
      <w:r>
        <w:rPr>
          <w:sz w:val="24"/>
          <w:szCs w:val="24"/>
        </w:rP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Обоснование цены договора, единицы каждого товара, работы, услуги установлены в Приложении №2 к Приглашению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 подаче заявки на ЭТП участник должен указать сведения о цене заявки в соответствии с выбранной им системой налогообложения. По вопросам заполнения форм в интерфейсе ЭТП, обращаться к регламенту </w:t>
      </w:r>
      <w:r>
        <w:rPr>
          <w:sz w:val="24"/>
          <w:szCs w:val="24"/>
        </w:rPr>
        <w:t xml:space="preserve">ЭТП, а также оператору ЭТП. </w:t>
      </w:r>
      <w:r>
        <w:rPr>
          <w:b/>
          <w:sz w:val="24"/>
          <w:szCs w:val="24"/>
        </w:rPr>
        <w:t xml:space="preserve">Сведения о цене указываются участником в Приложении №1 к </w:t>
      </w:r>
      <w:r>
        <w:rPr>
          <w:b/>
          <w:sz w:val="24"/>
          <w:szCs w:val="24"/>
        </w:rPr>
        <w:t xml:space="preserve">Приглашению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</w:pPr>
      <w:r>
        <w:rPr>
          <w:color w:val="000000"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/>
      <w:r>
        <w:rPr>
          <w:sz w:val="24"/>
          <w:szCs w:val="24"/>
        </w:rPr>
        <w:t xml:space="preserve">Начало – с момента заключения договора; </w:t>
      </w:r>
      <w:r>
        <w:rPr>
          <w:sz w:val="24"/>
          <w:szCs w:val="24"/>
        </w:rPr>
      </w:r>
      <w:r>
        <w:rPr>
          <w:sz w:val="24"/>
          <w:szCs w:val="24"/>
        </w:rPr>
        <w:t xml:space="preserve">Окончание - 30.12.2026</w:t>
      </w: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.</w:t>
      </w:r>
      <w:r/>
      <w:r/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color w:val="000000"/>
          <w:sz w:val="24"/>
          <w:szCs w:val="24"/>
        </w:rPr>
        <w:t xml:space="preserve"> в соответствии с п. 1.4 Технического задания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поставляемым товарам/</w:t>
      </w:r>
      <w:r>
        <w:rPr>
          <w:color w:val="000000"/>
          <w:sz w:val="24"/>
          <w:szCs w:val="24"/>
        </w:rPr>
        <w:t xml:space="preserve">вы</w:t>
      </w:r>
      <w:r>
        <w:rPr>
          <w:color w:val="000000"/>
          <w:sz w:val="24"/>
          <w:szCs w:val="24"/>
        </w:rPr>
        <w:t xml:space="preserve">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</w:t>
      </w:r>
      <w:r>
        <w:rPr>
          <w:color w:val="000000" w:themeColor="text1"/>
          <w:sz w:val="24"/>
          <w:szCs w:val="24"/>
        </w:rPr>
        <w:t xml:space="preserve">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выполненные 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/>
      <w:bookmarkStart w:id="5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должен</w:t>
      </w:r>
      <w:r>
        <w:rPr>
          <w:rFonts w:eastAsia="Calibri"/>
          <w:sz w:val="24"/>
          <w:szCs w:val="24"/>
          <w:lang w:eastAsia="en-US"/>
        </w:rPr>
        <w:t xml:space="preserve"> быть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5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</w:t>
      </w:r>
      <w:r>
        <w:rPr>
          <w:sz w:val="24"/>
          <w:szCs w:val="24"/>
        </w:rPr>
        <w:t xml:space="preserve">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yellow"/>
        </w:rPr>
        <w:t xml:space="preserve">Заявка должна быть оформлена по форме</w:t>
      </w:r>
      <w:r>
        <w:rPr>
          <w:b/>
          <w:sz w:val="24"/>
          <w:szCs w:val="24"/>
          <w:highlight w:val="yellow"/>
        </w:rPr>
        <w:t xml:space="preserve">, приведенной в Приложении № 1 к н</w:t>
      </w:r>
      <w:r>
        <w:rPr>
          <w:b/>
          <w:sz w:val="24"/>
          <w:szCs w:val="24"/>
          <w:highlight w:val="yellow"/>
        </w:rPr>
        <w:t xml:space="preserve">астоящему Приглашению</w:t>
      </w:r>
      <w:r>
        <w:rPr>
          <w:b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(Заявка на участие в закупке способом сравнения цен в </w:t>
      </w:r>
      <w:r>
        <w:rPr>
          <w:sz w:val="24"/>
          <w:szCs w:val="24"/>
          <w:highlight w:val="yellow"/>
        </w:rPr>
        <w:t xml:space="preserve">электронной форме)</w:t>
      </w:r>
      <w:r>
        <w:rPr>
          <w:sz w:val="24"/>
          <w:szCs w:val="24"/>
        </w:rPr>
        <w:t xml:space="preserve">, и быть действительной не менее чем 90 календарных дней со дня, 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  <w:highlight w:val="yellow"/>
        </w:rPr>
        <w:t xml:space="preserve"> участниками, в соответствии с Пр</w:t>
      </w:r>
      <w:r>
        <w:rPr>
          <w:b/>
          <w:sz w:val="24"/>
          <w:szCs w:val="24"/>
          <w:highlight w:val="yellow"/>
        </w:rPr>
        <w:t xml:space="preserve">иложением №2 к </w:t>
      </w:r>
      <w:r>
        <w:rPr>
          <w:b/>
          <w:sz w:val="24"/>
          <w:szCs w:val="24"/>
          <w:highlight w:val="yellow"/>
        </w:rPr>
        <w:t xml:space="preserve">Приглашению</w:t>
      </w:r>
      <w:r>
        <w:rPr>
          <w:b/>
          <w:sz w:val="24"/>
          <w:szCs w:val="24"/>
          <w:highlight w:val="yellow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  <w:highlight w:val="white"/>
        </w:rPr>
        <w:t xml:space="preserve">сравнения</w:t>
      </w:r>
      <w:r>
        <w:rPr>
          <w:sz w:val="24"/>
          <w:szCs w:val="24"/>
          <w:highlight w:val="white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  <w:highlight w:val="white"/>
        </w:rPr>
        <w:t xml:space="preserve"> доверенности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 </w:t>
      </w:r>
      <w:r>
        <w:rPr>
          <w:sz w:val="24"/>
          <w:szCs w:val="24"/>
          <w:highlight w:val="white"/>
        </w:rPr>
        <w:t xml:space="preserve">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 </w:t>
      </w:r>
      <w:r>
        <w:rPr>
          <w:sz w:val="24"/>
          <w:szCs w:val="24"/>
          <w:highlight w:val="white"/>
        </w:rPr>
        <w:t xml:space="preserve">Э</w:t>
      </w:r>
      <w:r>
        <w:rPr>
          <w:sz w:val="24"/>
          <w:szCs w:val="24"/>
          <w:highlight w:val="white"/>
        </w:rPr>
        <w:t xml:space="preserve">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С</w:t>
      </w:r>
      <w:r>
        <w:rPr>
          <w:sz w:val="24"/>
          <w:szCs w:val="24"/>
          <w:highlight w:val="yellow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sz w:val="24"/>
          <w:szCs w:val="24"/>
          <w:highlight w:val="yellow"/>
        </w:rPr>
        <w:t xml:space="preserve">в</w:t>
      </w:r>
      <w:r>
        <w:rPr>
          <w:sz w:val="24"/>
          <w:szCs w:val="24"/>
          <w:highlight w:val="yellow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sz w:val="24"/>
          <w:szCs w:val="24"/>
          <w:highlight w:val="yellow"/>
        </w:rPr>
        <w:t xml:space="preserve">л</w:t>
      </w:r>
      <w:r>
        <w:rPr>
          <w:sz w:val="24"/>
          <w:szCs w:val="24"/>
          <w:highlight w:val="yellow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sz w:val="24"/>
          <w:szCs w:val="24"/>
          <w:highlight w:val="yellow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При наличии в заявке указанных расхождений, закупочная комиссия принимает решение об отклонении заявки.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yellow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</w:rPr>
        <w:t xml:space="preserve">ть выражены в российских рублях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</w:rPr>
        <w:t xml:space="preserve">заявки </w:t>
      </w:r>
      <w:r>
        <w:rPr>
          <w:sz w:val="24"/>
          <w:szCs w:val="24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</w:rPr>
        <w:t xml:space="preserve"> оказания услуг,</w:t>
      </w:r>
      <w:r>
        <w:rPr>
          <w:sz w:val="24"/>
          <w:szCs w:val="24"/>
        </w:rPr>
        <w:t xml:space="preserve"> поставке продукции и т.п. Частичное выполнение работ/услуг/поставок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и время начала подачи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Заявок: с момента публикации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05.08</w:t>
      </w:r>
      <w:r>
        <w:rPr>
          <w:b/>
          <w:sz w:val="24"/>
          <w:szCs w:val="24"/>
          <w:highlight w:val="yellow"/>
        </w:rPr>
        <w:t xml:space="preserve">.</w:t>
      </w:r>
      <w:r>
        <w:rPr>
          <w:b/>
          <w:sz w:val="24"/>
          <w:szCs w:val="24"/>
          <w:highlight w:val="yellow"/>
        </w:rPr>
        <w:t xml:space="preserve">20</w:t>
      </w:r>
      <w:r>
        <w:rPr>
          <w:b/>
          <w:sz w:val="24"/>
          <w:szCs w:val="24"/>
          <w:highlight w:val="yellow"/>
        </w:rPr>
        <w:t xml:space="preserve">26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г. </w:t>
      </w:r>
      <w:r>
        <w:rPr>
          <w:b/>
          <w:sz w:val="24"/>
          <w:szCs w:val="24"/>
          <w:highlight w:val="yellow"/>
        </w:rPr>
        <w:t xml:space="preserve">09</w:t>
      </w:r>
      <w:r>
        <w:rPr>
          <w:b/>
          <w:sz w:val="24"/>
          <w:szCs w:val="24"/>
          <w:highlight w:val="yellow"/>
        </w:rPr>
        <w:t xml:space="preserve">:</w:t>
      </w:r>
      <w:r>
        <w:rPr>
          <w:b/>
          <w:sz w:val="24"/>
          <w:szCs w:val="24"/>
          <w:highlight w:val="yellow"/>
        </w:rPr>
        <w:t xml:space="preserve">00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приема Заявок </w:t>
      </w:r>
      <w:r>
        <w:rPr>
          <w:sz w:val="24"/>
          <w:szCs w:val="24"/>
        </w:rPr>
        <w:t xml:space="preserve">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3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Единственным критерием</w:t>
      </w:r>
      <w:r>
        <w:rPr>
          <w:rFonts w:ascii="Times New Roman" w:hAnsi="Times New Roman"/>
          <w:sz w:val="24"/>
          <w:szCs w:val="24"/>
          <w:lang w:val="ru-RU"/>
        </w:rPr>
        <w:t xml:space="preserve">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</w:t>
      </w:r>
      <w:r>
        <w:rPr>
          <w:rFonts w:ascii="Times New Roman" w:hAnsi="Times New Roman"/>
          <w:sz w:val="24"/>
          <w:szCs w:val="24"/>
          <w:lang w:val="ru-RU"/>
        </w:rPr>
        <w:t xml:space="preserve">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03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103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708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Отнесение участника закупки к</w:t>
      </w:r>
      <w:r>
        <w:rPr>
          <w:sz w:val="24"/>
          <w:szCs w:val="24"/>
        </w:rPr>
        <w:t xml:space="preserve"> иностранному агенту производится на основании информации, содержащейся </w:t>
      </w:r>
      <w:r>
        <w:rPr>
          <w:sz w:val="24"/>
          <w:szCs w:val="24"/>
        </w:rPr>
        <w:t xml:space="preserve">в Реестре иностранных агентов, </w:t>
      </w:r>
      <w:r>
        <w:rPr>
          <w:sz w:val="24"/>
          <w:szCs w:val="24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spacing w:line="240" w:lineRule="auto"/>
        <w:rPr>
          <w:sz w:val="24"/>
          <w:szCs w:val="24"/>
          <w:highlight w:val="none"/>
        </w:rPr>
      </w:pP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 w:val="0"/>
          <w:bCs w:val="0"/>
          <w:sz w:val="24"/>
          <w:szCs w:val="24"/>
          <w:highlight w:val="none"/>
        </w:rPr>
        <w:t xml:space="preserve">20.</w:t>
      </w:r>
      <w:r>
        <w:rPr>
          <w:rFonts w:eastAsia="Calibri"/>
          <w:b/>
          <w:bCs/>
          <w:sz w:val="24"/>
          <w:szCs w:val="24"/>
          <w:highlight w:val="none"/>
        </w:rPr>
        <w:t xml:space="preserve"> 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</w:t>
      </w:r>
      <w:r>
        <w:rPr>
          <w:rFonts w:eastAsia="Calibri"/>
          <w:sz w:val="24"/>
          <w:szCs w:val="24"/>
          <w:highlight w:val="none"/>
        </w:rPr>
        <w:t xml:space="preserve">0.1. Приоритет товаров россий</w:t>
      </w:r>
      <w:r>
        <w:rPr>
          <w:rFonts w:eastAsia="Calibri"/>
          <w:sz w:val="24"/>
          <w:szCs w:val="24"/>
          <w:highlight w:val="none"/>
        </w:rPr>
        <w:t xml:space="preserve">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non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none"/>
        </w:rPr>
        <w:t xml:space="preserve">н</w:t>
      </w:r>
      <w:r>
        <w:rPr>
          <w:rFonts w:eastAsia="Calibri"/>
          <w:sz w:val="24"/>
          <w:szCs w:val="24"/>
          <w:highlight w:val="non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non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none"/>
        </w:rPr>
        <w:t xml:space="preserve"> </w:t>
      </w:r>
      <w:r>
        <w:rPr>
          <w:rFonts w:eastAsia="Calibri"/>
          <w:sz w:val="24"/>
          <w:szCs w:val="24"/>
          <w:highlight w:val="none"/>
        </w:rPr>
        <w:t xml:space="preserve">Приглашения </w:t>
      </w:r>
      <w:r>
        <w:rPr>
          <w:rFonts w:eastAsia="Calibri"/>
          <w:sz w:val="24"/>
          <w:szCs w:val="24"/>
          <w:highlight w:val="non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none"/>
        </w:rPr>
        <w:t xml:space="preserve">я</w:t>
      </w:r>
      <w:r>
        <w:rPr>
          <w:rFonts w:eastAsia="Calibri"/>
          <w:sz w:val="24"/>
          <w:szCs w:val="24"/>
          <w:highlight w:val="non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</w:t>
      </w:r>
      <w:r>
        <w:rPr>
          <w:rFonts w:eastAsia="Calibri"/>
          <w:sz w:val="24"/>
          <w:szCs w:val="24"/>
          <w:highlight w:val="none"/>
        </w:rPr>
        <w:t xml:space="preserve">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none"/>
        </w:rPr>
        <w:t xml:space="preserve">ромышленной поли</w:t>
      </w:r>
      <w:r>
        <w:rPr>
          <w:rFonts w:eastAsia="Calibri"/>
          <w:sz w:val="24"/>
          <w:szCs w:val="24"/>
          <w:highlight w:val="none"/>
        </w:rPr>
        <w:t xml:space="preserve">тики в целях отнесения этой продукции к российской промышленной продукции.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 Предоставление национального режима при осуществлении закупок.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</w:t>
      </w:r>
      <w:r>
        <w:rPr>
          <w:rFonts w:eastAsia="Calibri"/>
          <w:sz w:val="24"/>
          <w:szCs w:val="24"/>
          <w:highlight w:val="non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none"/>
        </w:rPr>
        <w:t xml:space="preserve">й</w:t>
      </w:r>
      <w:r>
        <w:rPr>
          <w:rFonts w:eastAsia="Calibri"/>
          <w:sz w:val="24"/>
          <w:szCs w:val="24"/>
          <w:highlight w:val="non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non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none"/>
        </w:rPr>
        <w:t xml:space="preserve">обязательную долю закупок товаров российского происхождения;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преимущество в отношении товаров российского </w:t>
      </w:r>
      <w:r>
        <w:rPr>
          <w:rFonts w:eastAsia="Calibri"/>
          <w:sz w:val="24"/>
          <w:szCs w:val="24"/>
          <w:highlight w:val="none"/>
        </w:rPr>
        <w:t xml:space="preserve">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20.2.2. Если иное не предусмотрено мерами, принятыми</w:t>
      </w:r>
      <w:r>
        <w:rPr>
          <w:rFonts w:eastAsia="Calibri"/>
          <w:sz w:val="24"/>
          <w:szCs w:val="24"/>
          <w:highlight w:val="none"/>
        </w:rPr>
        <w:t xml:space="preserve"> Пр</w:t>
      </w:r>
      <w:r>
        <w:rPr>
          <w:rFonts w:eastAsia="Calibri"/>
          <w:sz w:val="24"/>
          <w:szCs w:val="24"/>
          <w:highlight w:val="none"/>
        </w:rPr>
        <w:t xml:space="preserve">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none"/>
        </w:rPr>
        <w:t xml:space="preserve">м</w:t>
      </w:r>
      <w:r>
        <w:rPr>
          <w:rFonts w:eastAsia="Calibri"/>
          <w:sz w:val="24"/>
          <w:szCs w:val="24"/>
          <w:highlight w:val="non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none"/>
        </w:rPr>
        <w:t xml:space="preserve">енно выполняемой, оказываемой российским лицом.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поставку такого товара;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none"/>
        </w:rPr>
        <w:t xml:space="preserve"> и содержащие предложения о поставке товара российского происхождения;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</w:t>
      </w:r>
      <w:r>
        <w:rPr>
          <w:rFonts w:eastAsia="Calibri"/>
          <w:sz w:val="24"/>
          <w:szCs w:val="24"/>
          <w:highlight w:val="non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non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none"/>
        </w:rPr>
        <w:t xml:space="preserve">тановлен данный запрет.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none"/>
        </w:rPr>
        <w:t xml:space="preserve">данное ограничение, если договор заключен с российским лицом.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non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перемена подрядчика (исполнителя) (в случае, если эта перемена допускается гражданским</w:t>
      </w:r>
      <w:r>
        <w:rPr>
          <w:rFonts w:eastAsia="Calibri"/>
          <w:sz w:val="24"/>
          <w:szCs w:val="24"/>
          <w:highlight w:val="none"/>
        </w:rPr>
        <w:t xml:space="preserve">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none"/>
        </w:rPr>
      </w:r>
      <w:r>
        <w:rPr>
          <w:highlight w:val="none"/>
        </w:rPr>
      </w:r>
    </w:p>
    <w:p>
      <w:pPr>
        <w:spacing w:line="240" w:lineRule="auto"/>
        <w:widowControl w:val="off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none"/>
        </w:rPr>
        <w:t xml:space="preserve">П</w:t>
      </w:r>
      <w:r>
        <w:rPr>
          <w:rFonts w:eastAsia="Calibri"/>
          <w:sz w:val="24"/>
          <w:szCs w:val="24"/>
          <w:highlight w:val="none"/>
        </w:rPr>
        <w:t xml:space="preserve">р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  <w:t xml:space="preserve">г</w:t>
      </w:r>
      <w:r>
        <w:rPr>
          <w:rFonts w:eastAsia="Calibri"/>
          <w:sz w:val="24"/>
          <w:szCs w:val="24"/>
          <w:highlight w:val="none"/>
        </w:rPr>
        <w:t xml:space="preserve">л</w:t>
      </w:r>
      <w:r>
        <w:rPr>
          <w:rFonts w:eastAsia="Calibri"/>
          <w:sz w:val="24"/>
          <w:szCs w:val="24"/>
          <w:highlight w:val="none"/>
        </w:rPr>
        <w:t xml:space="preserve">а</w:t>
      </w:r>
      <w:r>
        <w:rPr>
          <w:rFonts w:eastAsia="Calibri"/>
          <w:sz w:val="24"/>
          <w:szCs w:val="24"/>
          <w:highlight w:val="none"/>
        </w:rPr>
        <w:t xml:space="preserve">ш</w:t>
      </w:r>
      <w:r>
        <w:rPr>
          <w:rFonts w:eastAsia="Calibri"/>
          <w:sz w:val="24"/>
          <w:szCs w:val="24"/>
          <w:highlight w:val="none"/>
        </w:rPr>
        <w:t xml:space="preserve">е</w:t>
      </w:r>
      <w:r>
        <w:rPr>
          <w:rFonts w:eastAsia="Calibri"/>
          <w:sz w:val="24"/>
          <w:szCs w:val="24"/>
          <w:highlight w:val="none"/>
        </w:rPr>
        <w:t xml:space="preserve">н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widowControl w:val="off"/>
        <w:rPr>
          <w:rFonts w:eastAsia="Calibri"/>
          <w:sz w:val="24"/>
          <w:szCs w:val="24"/>
          <w:highlight w:val="yellow"/>
        </w:rPr>
      </w:pPr>
      <w:r>
        <w:rPr>
          <w:sz w:val="24"/>
          <w:szCs w:val="24"/>
          <w:highlight w:val="none"/>
        </w:rPr>
        <w:t xml:space="preserve">21. </w:t>
      </w:r>
      <w:r>
        <w:rPr>
          <w:sz w:val="24"/>
          <w:szCs w:val="24"/>
          <w:highlight w:val="yellow"/>
        </w:rPr>
        <w:t xml:space="preserve">Заказчик</w:t>
      </w:r>
      <w:r>
        <w:rPr>
          <w:rFonts w:eastAsia="Calibri"/>
          <w:sz w:val="24"/>
          <w:szCs w:val="24"/>
          <w:highlight w:val="yellow"/>
        </w:rPr>
        <w:t xml:space="preserve"> сравнения</w:t>
      </w:r>
      <w:r>
        <w:rPr>
          <w:rFonts w:eastAsia="Calibri"/>
          <w:sz w:val="24"/>
          <w:szCs w:val="24"/>
          <w:highlight w:val="yellow"/>
        </w:rPr>
        <w:t xml:space="preserve"> цен вправе отклонить </w:t>
      </w:r>
      <w:r>
        <w:rPr>
          <w:rFonts w:eastAsia="Calibri"/>
          <w:sz w:val="24"/>
          <w:szCs w:val="24"/>
          <w:highlight w:val="yellow"/>
        </w:rPr>
        <w:t xml:space="preserve">заявку</w:t>
      </w:r>
      <w:r>
        <w:rPr>
          <w:rFonts w:eastAsia="Calibri"/>
          <w:sz w:val="24"/>
          <w:szCs w:val="24"/>
          <w:highlight w:val="yellow"/>
        </w:rPr>
        <w:t xml:space="preserve"> участника на том основании, что </w:t>
      </w:r>
      <w:r>
        <w:rPr>
          <w:rFonts w:eastAsia="Calibri"/>
          <w:sz w:val="24"/>
          <w:szCs w:val="24"/>
          <w:highlight w:val="yellow"/>
        </w:rPr>
        <w:t xml:space="preserve">предложенная участником </w:t>
      </w:r>
      <w:r>
        <w:rPr>
          <w:rFonts w:eastAsia="Calibri"/>
          <w:sz w:val="24"/>
          <w:szCs w:val="24"/>
          <w:highlight w:val="yellow"/>
        </w:rPr>
        <w:t xml:space="preserve">цена в </w:t>
      </w:r>
      <w:r>
        <w:rPr>
          <w:rFonts w:eastAsia="Calibri"/>
          <w:sz w:val="24"/>
          <w:szCs w:val="24"/>
          <w:highlight w:val="yellow"/>
        </w:rPr>
        <w:t xml:space="preserve">заявке</w:t>
      </w:r>
      <w:r>
        <w:rPr>
          <w:rFonts w:eastAsia="Calibri"/>
          <w:sz w:val="24"/>
          <w:szCs w:val="24"/>
          <w:highlight w:val="yellow"/>
        </w:rPr>
        <w:t xml:space="preserve"> не соответствует </w:t>
      </w:r>
      <w:r>
        <w:rPr>
          <w:rFonts w:eastAsia="Calibri"/>
          <w:sz w:val="24"/>
          <w:szCs w:val="24"/>
          <w:highlight w:val="yellow"/>
        </w:rPr>
        <w:t xml:space="preserve">цене на котировочной доске электронной системы </w:t>
      </w:r>
      <w:r>
        <w:rPr>
          <w:rFonts w:eastAsia="Calibri"/>
          <w:color w:val="000000" w:themeColor="text1"/>
          <w:sz w:val="24"/>
          <w:szCs w:val="24"/>
          <w:highlight w:val="yellow"/>
        </w:rPr>
        <w:t xml:space="preserve">ЭТП.</w:t>
      </w: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22. Договор по </w:t>
      </w:r>
      <w:r>
        <w:rPr>
          <w:sz w:val="24"/>
          <w:szCs w:val="24"/>
        </w:rPr>
        <w:t xml:space="preserve">результатам</w:t>
      </w:r>
      <w:r>
        <w:rPr>
          <w:sz w:val="24"/>
          <w:szCs w:val="24"/>
        </w:rPr>
        <w:t xml:space="preserve"> закупки между Заказчиком </w:t>
      </w:r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Участником</w:t>
      </w:r>
      <w:r>
        <w:rPr>
          <w:sz w:val="24"/>
          <w:szCs w:val="24"/>
        </w:rPr>
        <w:t xml:space="preserve">, представившим наилучшую </w:t>
      </w:r>
      <w:r>
        <w:rPr>
          <w:sz w:val="24"/>
          <w:szCs w:val="24"/>
        </w:rPr>
        <w:t xml:space="preserve">заявку,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заключен</w:t>
      </w:r>
      <w:r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 xml:space="preserve">20 дней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23. Участник закупки, после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обязан представить справку о цепочке собственников участника закупочной </w:t>
      </w:r>
      <w:r>
        <w:rPr>
          <w:b/>
          <w:sz w:val="24"/>
          <w:szCs w:val="24"/>
        </w:rPr>
        <w:t xml:space="preserve">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победителя, и его действия (бездействия) означают</w:t>
      </w:r>
      <w:r>
        <w:rPr>
          <w:b/>
          <w:sz w:val="24"/>
          <w:szCs w:val="24"/>
        </w:rPr>
        <w:t xml:space="preserve">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</w:t>
      </w:r>
      <w:r>
        <w:rPr>
          <w:b/>
          <w:sz w:val="24"/>
          <w:szCs w:val="24"/>
        </w:rPr>
        <w:t xml:space="preserve">бенефициаров и т.п.</w:t>
      </w:r>
      <w:r>
        <w:rPr>
          <w:b/>
          <w:sz w:val="24"/>
          <w:szCs w:val="24"/>
        </w:rPr>
        <w:t xml:space="preserve">, а также Антикоррупционного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24. Основания, порядок и последствия признания закупки несостоявшейся установлены Единым стандартом закупок ПАО Россети (Положение о закупк</w:t>
      </w:r>
      <w:r>
        <w:rPr>
          <w:sz w:val="24"/>
          <w:szCs w:val="24"/>
          <w:highlight w:val="none"/>
        </w:rPr>
        <w:t xml:space="preserve">е, </w:t>
      </w:r>
      <w:r>
        <w:rPr>
          <w:sz w:val="24"/>
          <w:szCs w:val="24"/>
          <w:highlight w:val="none"/>
        </w:rPr>
        <w:t xml:space="preserve">Стандарт</w:t>
      </w:r>
      <w:r>
        <w:rPr>
          <w:sz w:val="24"/>
          <w:szCs w:val="24"/>
          <w:highlight w:val="none"/>
        </w:rPr>
        <w:t xml:space="preserve">)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25.</w:t>
      </w:r>
      <w:r>
        <w:rPr>
          <w:b/>
          <w:sz w:val="24"/>
          <w:szCs w:val="24"/>
        </w:rPr>
        <w:t xml:space="preserve"> Для справок обращаться к </w:t>
      </w:r>
      <w:r>
        <w:rPr>
          <w:b/>
          <w:sz w:val="24"/>
          <w:szCs w:val="24"/>
        </w:rPr>
        <w:t xml:space="preserve">секретарю </w:t>
      </w:r>
      <w:r>
        <w:rPr>
          <w:b/>
          <w:sz w:val="24"/>
          <w:szCs w:val="24"/>
        </w:rPr>
        <w:t xml:space="preserve">– Таратухиной </w:t>
      </w:r>
      <w:r>
        <w:rPr>
          <w:b/>
          <w:sz w:val="24"/>
          <w:szCs w:val="24"/>
        </w:rPr>
        <w:t xml:space="preserve">Анастасии Александровне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22-35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1063"/>
          <w:b/>
          <w:bCs/>
          <w:sz w:val="24"/>
          <w:szCs w:val="24"/>
        </w:rPr>
        <w:t xml:space="preserve"> </w:t>
      </w:r>
      <w:r>
        <w:rPr>
          <w:rStyle w:val="1063"/>
          <w:b/>
          <w:bCs/>
          <w:sz w:val="24"/>
          <w:szCs w:val="24"/>
        </w:rPr>
        <w:t xml:space="preserve">T</w:t>
      </w:r>
      <w:r>
        <w:rPr>
          <w:rStyle w:val="1063"/>
          <w:b/>
          <w:bCs/>
          <w:sz w:val="24"/>
          <w:szCs w:val="24"/>
        </w:rPr>
        <w:t xml:space="preserve">a</w:t>
      </w:r>
      <w:r>
        <w:rPr>
          <w:rStyle w:val="1063"/>
          <w:b/>
          <w:bCs/>
          <w:sz w:val="24"/>
          <w:szCs w:val="24"/>
        </w:rPr>
        <w:t xml:space="preserve">r</w:t>
      </w:r>
      <w:r>
        <w:rPr>
          <w:rStyle w:val="1063"/>
          <w:b/>
          <w:bCs/>
          <w:sz w:val="24"/>
          <w:szCs w:val="24"/>
        </w:rPr>
        <w:t xml:space="preserve">a</w:t>
      </w:r>
      <w:r>
        <w:rPr>
          <w:rStyle w:val="1063"/>
          <w:b/>
          <w:bCs/>
          <w:sz w:val="24"/>
          <w:szCs w:val="24"/>
        </w:rPr>
        <w:t xml:space="preserve">t</w:t>
      </w:r>
      <w:r>
        <w:rPr>
          <w:rStyle w:val="1063"/>
          <w:b/>
          <w:bCs/>
          <w:sz w:val="24"/>
          <w:szCs w:val="24"/>
        </w:rPr>
        <w:t xml:space="preserve">u</w:t>
      </w:r>
      <w:r>
        <w:rPr>
          <w:rStyle w:val="1063"/>
          <w:b/>
          <w:bCs/>
          <w:sz w:val="24"/>
          <w:szCs w:val="24"/>
        </w:rPr>
        <w:t xml:space="preserve">h</w:t>
      </w:r>
      <w:r>
        <w:rPr>
          <w:rStyle w:val="1063"/>
          <w:b/>
          <w:bCs/>
          <w:sz w:val="24"/>
          <w:szCs w:val="24"/>
        </w:rPr>
        <w:t xml:space="preserve">i</w:t>
      </w:r>
      <w:r>
        <w:rPr>
          <w:rStyle w:val="1063"/>
          <w:b/>
          <w:bCs/>
          <w:sz w:val="24"/>
          <w:szCs w:val="24"/>
        </w:rPr>
        <w:t xml:space="preserve">n</w:t>
      </w:r>
      <w:r>
        <w:rPr>
          <w:rStyle w:val="1063"/>
          <w:b/>
          <w:bCs/>
          <w:sz w:val="24"/>
          <w:szCs w:val="24"/>
        </w:rPr>
        <w:t xml:space="preserve">a</w:t>
      </w:r>
      <w:r>
        <w:rPr>
          <w:rStyle w:val="1063"/>
          <w:b/>
          <w:bCs/>
          <w:sz w:val="24"/>
          <w:szCs w:val="24"/>
        </w:rPr>
        <w:t xml:space="preserve">-</w:t>
      </w:r>
      <w:r>
        <w:rPr>
          <w:rStyle w:val="1063"/>
          <w:b/>
          <w:bCs/>
          <w:sz w:val="24"/>
          <w:szCs w:val="24"/>
        </w:rPr>
        <w:t xml:space="preserve">A</w:t>
      </w:r>
      <w:r>
        <w:rPr>
          <w:rStyle w:val="1063"/>
          <w:b/>
          <w:bCs/>
          <w:sz w:val="24"/>
          <w:szCs w:val="24"/>
        </w:rPr>
        <w:t xml:space="preserve">A</w:t>
      </w:r>
      <w:hyperlink r:id="rId15" w:tooltip="mailto:Lebedkina-AN@rosseti-ural.ru" w:history="1">
        <w:r>
          <w:rPr>
            <w:rStyle w:val="1063"/>
            <w:b/>
            <w:sz w:val="24"/>
            <w:szCs w:val="24"/>
          </w:rPr>
          <w:t xml:space="preserve">@rosseti-ural.ru</w:t>
        </w:r>
        <w:r>
          <w:rPr>
            <w:rStyle w:val="1063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6" w:tooltip="mailto:Ronzhin-AV@rosseti-ural.ru" w:history="1">
        <w:r>
          <w:rPr>
            <w:rStyle w:val="1063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</w:t>
      </w:r>
      <w:r>
        <w:rPr>
          <w:sz w:val="24"/>
          <w:szCs w:val="24"/>
        </w:rPr>
        <w:t xml:space="preserve">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приглашение не является офертой, приглашением делать оферты, а прово</w:t>
      </w:r>
      <w:r>
        <w:rPr>
          <w:sz w:val="24"/>
          <w:szCs w:val="24"/>
          <w:highlight w:val="white"/>
        </w:rPr>
        <w:t xml:space="preserve">димая Закупка не является способом заключения Договора на торгах, публичным конкурсом и не несет для Заказчика никаких правовых последствий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28.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информирует участников закупки о том, что в ПАО «Россети Урал» утвержден Кодекс поставщика ПАО «Россети Урал» (далее – Кодекс), которым установлены базовые рекомендации для участников закупки в части корпоративной и социальной ответственности. Напр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вление заявки на участие в закупочной процедуре означает, что участник ознакомлен с положениями Кодекса. Кодекс имеет рекомендательный характер для поставщиков ПАО «Россети Урал» в части применения ими в своей деятельности изложенных в Кодексе принципов и </w:t>
      </w:r>
      <w:r>
        <w:rPr>
          <w:sz w:val="24"/>
          <w:szCs w:val="24"/>
          <w:highlight w:val="white"/>
        </w:rPr>
        <w:t xml:space="preserve">подходов. Указанный документ размещен в сети Интернет по адресу: </w:t>
      </w:r>
      <w:r>
        <w:rPr>
          <w:sz w:val="24"/>
          <w:szCs w:val="24"/>
          <w:highlight w:val="white"/>
        </w:rPr>
      </w:r>
      <w:hyperlink r:id="rId17" w:tooltip="https://rosseti-ural.ru/company/trade/" w:history="1">
        <w:r>
          <w:rPr>
            <w:rStyle w:val="1063"/>
            <w:sz w:val="24"/>
            <w:szCs w:val="24"/>
            <w:highlight w:val="white"/>
          </w:rPr>
          <w:t xml:space="preserve">https://rosseti-ural.ru/company/trade/</w:t>
        </w:r>
        <w:r>
          <w:rPr>
            <w:rStyle w:val="1063"/>
            <w:sz w:val="24"/>
            <w:szCs w:val="24"/>
            <w:highlight w:val="white"/>
          </w:rPr>
        </w:r>
      </w:hyperlink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720" w:gutter="0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  <w:highlight w:val="white"/>
        </w:rPr>
        <w:outlineLvl w:val="1"/>
      </w:pPr>
      <w:r>
        <w:rPr>
          <w:b/>
          <w:highlight w:val="white"/>
        </w:rPr>
      </w:r>
      <w:r>
        <w:rPr>
          <w:b/>
          <w:highlight w:val="white"/>
        </w:rPr>
        <w:t xml:space="preserve">Заявка </w:t>
      </w:r>
      <w:r>
        <w:rPr>
          <w:b/>
          <w:highlight w:val="white"/>
        </w:rPr>
        <w:t xml:space="preserve">на </w:t>
      </w:r>
      <w:r>
        <w:rPr>
          <w:b/>
          <w:highlight w:val="white"/>
        </w:rPr>
        <w:t xml:space="preserve">участие в закупке способом сравнения цен в </w:t>
      </w:r>
      <w:r>
        <w:rPr>
          <w:b/>
          <w:highlight w:val="white"/>
        </w:rPr>
        <w:t xml:space="preserve">электронной форм</w:t>
      </w:r>
      <w:r>
        <w:rPr>
          <w:b/>
          <w:highlight w:val="white"/>
        </w:rPr>
        <w:t xml:space="preserve">е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___.___.</w:t>
      </w:r>
      <w:r>
        <w:rPr>
          <w:b/>
          <w:sz w:val="24"/>
          <w:szCs w:val="24"/>
        </w:rPr>
        <w:t xml:space="preserve">202__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</w:t>
      </w:r>
      <w:r>
        <w:rPr>
          <w:color w:val="000000" w:themeColor="text1"/>
          <w:sz w:val="24"/>
          <w:szCs w:val="24"/>
          <w:highlight w:val="white"/>
        </w:rPr>
        <w:t xml:space="preserve">ЭТП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hyperlink r:id="rId18" w:tooltip="https://tender.lot-online.ru" w:history="1">
        <w:r>
          <w:rPr>
            <w:rStyle w:val="1063"/>
            <w:b/>
            <w:sz w:val="24"/>
            <w:highlight w:val="yellow"/>
          </w:rPr>
          <w:t xml:space="preserve">https://</w:t>
        </w:r>
        <w:r>
          <w:rPr>
            <w:rStyle w:val="1063"/>
            <w:b/>
            <w:sz w:val="24"/>
            <w:highlight w:val="yellow"/>
            <w:lang w:val="en-US"/>
          </w:rPr>
          <w:t xml:space="preserve">tender</w:t>
        </w:r>
        <w:r>
          <w:rPr>
            <w:rStyle w:val="1063"/>
            <w:b/>
            <w:sz w:val="24"/>
            <w:highlight w:val="yellow"/>
          </w:rPr>
          <w:t xml:space="preserve">.</w:t>
        </w:r>
        <w:r>
          <w:rPr>
            <w:rStyle w:val="1063"/>
            <w:b/>
            <w:sz w:val="24"/>
            <w:highlight w:val="yellow"/>
            <w:lang w:val="en-US"/>
          </w:rPr>
          <w:t xml:space="preserve">lot</w:t>
        </w:r>
        <w:r>
          <w:rPr>
            <w:rStyle w:val="1063"/>
            <w:b/>
            <w:sz w:val="24"/>
            <w:highlight w:val="yellow"/>
          </w:rPr>
          <w:t xml:space="preserve">-</w:t>
        </w:r>
        <w:r>
          <w:rPr>
            <w:rStyle w:val="1063"/>
            <w:b/>
            <w:sz w:val="24"/>
            <w:highlight w:val="yellow"/>
            <w:lang w:val="en-US"/>
          </w:rPr>
          <w:t xml:space="preserve">online</w:t>
        </w:r>
        <w:r>
          <w:rPr>
            <w:rStyle w:val="1063"/>
            <w:b/>
            <w:sz w:val="24"/>
            <w:highlight w:val="yellow"/>
          </w:rPr>
          <w:t xml:space="preserve">.</w:t>
        </w:r>
        <w:r>
          <w:rPr>
            <w:rStyle w:val="1063"/>
            <w:b/>
            <w:sz w:val="24"/>
            <w:highlight w:val="yellow"/>
          </w:rPr>
          <w:t xml:space="preserve">ru</w:t>
        </w:r>
      </w:hyperlink>
      <w:r>
        <w:rPr>
          <w:b/>
          <w:color w:val="0000ff"/>
          <w:sz w:val="24"/>
          <w:highlight w:val="yellow"/>
          <w:u w:val="single"/>
        </w:rPr>
        <w:t xml:space="preserve"> /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"https://rosseti.roseltorg.ru" </w:instrText>
      </w:r>
      <w:r>
        <w:rPr>
          <w:highlight w:val="yellow"/>
        </w:rPr>
        <w:fldChar w:fldCharType="separate"/>
      </w:r>
      <w:r>
        <w:rPr>
          <w:rStyle w:val="1063"/>
          <w:b/>
          <w:sz w:val="24"/>
          <w:highlight w:val="yellow"/>
        </w:rPr>
        <w:t xml:space="preserve">https</w:t>
      </w:r>
      <w:r>
        <w:rPr>
          <w:rStyle w:val="1063"/>
          <w:b/>
          <w:sz w:val="24"/>
          <w:highlight w:val="yellow"/>
        </w:rPr>
        <w:t xml:space="preserve">://rosseti.roseltorg.ru</w:t>
      </w:r>
      <w:r>
        <w:rPr>
          <w:rStyle w:val="1063"/>
          <w:b/>
          <w:sz w:val="24"/>
          <w:highlight w:val="yellow"/>
        </w:rPr>
        <w:fldChar w:fldCharType="end"/>
      </w:r>
      <w:r>
        <w:rPr>
          <w:color w:val="000000" w:themeColor="text1"/>
          <w:sz w:val="24"/>
          <w:szCs w:val="24"/>
          <w:highlight w:val="white"/>
        </w:rPr>
        <w:t xml:space="preserve">, извещение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№</w:t>
      </w:r>
      <w:r>
        <w:rPr>
          <w:color w:val="000000" w:themeColor="text1"/>
          <w:sz w:val="24"/>
          <w:szCs w:val="24"/>
          <w:highlight w:val="white"/>
        </w:rPr>
        <w:t xml:space="preserve"> </w:t>
      </w:r>
      <w:r>
        <w:rPr>
          <w:b/>
          <w:sz w:val="24"/>
          <w:szCs w:val="24"/>
          <w:highlight w:val="white"/>
        </w:rPr>
        <w:t xml:space="preserve">______________</w:t>
      </w:r>
      <w:r>
        <w:rPr>
          <w:color w:val="000000" w:themeColor="text1"/>
          <w:sz w:val="24"/>
          <w:szCs w:val="24"/>
          <w:highlight w:val="white"/>
        </w:rPr>
        <w:t xml:space="preserve">, </w:t>
      </w:r>
      <w:r>
        <w:rPr>
          <w:sz w:val="24"/>
          <w:szCs w:val="24"/>
          <w:highlight w:val="white"/>
        </w:rPr>
        <w:t xml:space="preserve">на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_____________________</w:t>
      </w:r>
      <w:r>
        <w:rPr>
          <w:rStyle w:val="1114"/>
          <w:highlight w:val="none"/>
        </w:rPr>
        <w:t xml:space="preserve">(указывается предмет закупки)</w:t>
      </w:r>
      <w:r>
        <w:rPr>
          <w:b/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</w:rPr>
        <w:t xml:space="preserve">_____________________</w:t>
      </w:r>
      <w:r>
        <w:rPr>
          <w:rStyle w:val="1114"/>
          <w:highlight w:val="none"/>
        </w:rPr>
        <w:t xml:space="preserve">(указывает</w:t>
      </w:r>
      <w:r>
        <w:rPr>
          <w:rStyle w:val="1114"/>
          <w:highlight w:val="none"/>
        </w:rPr>
        <w:t xml:space="preserve">ся </w:t>
      </w:r>
      <w:r>
        <w:rPr>
          <w:rStyle w:val="1114"/>
          <w:highlight w:val="none"/>
        </w:rPr>
        <w:t xml:space="preserve">полное наименование Участника закупки с указанием организационно-правовой формы</w:t>
      </w:r>
      <w:r>
        <w:rPr>
          <w:rStyle w:val="1114"/>
          <w:highlight w:val="white"/>
        </w:rPr>
        <w:t xml:space="preserve">)</w:t>
      </w:r>
      <w:r>
        <w:rPr>
          <w:color w:val="000000" w:themeColor="text1"/>
          <w:sz w:val="24"/>
          <w:szCs w:val="24"/>
          <w:highlight w:val="white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</w:t>
      </w:r>
      <w:r>
        <w:rPr>
          <w:sz w:val="24"/>
          <w:szCs w:val="24"/>
        </w:rPr>
        <w:t xml:space="preserve">бщает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сумму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114"/>
                <w:sz w:val="20"/>
                <w:szCs w:val="20"/>
              </w:rPr>
              <w:t xml:space="preserve">(</w:t>
            </w:r>
            <w:r>
              <w:rPr>
                <w:rStyle w:val="1114"/>
                <w:sz w:val="20"/>
                <w:szCs w:val="20"/>
              </w:rPr>
              <w:t xml:space="preserve">заполнить поле</w:t>
            </w:r>
            <w:r>
              <w:rPr>
                <w:rStyle w:val="1114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114"/>
                <w:sz w:val="20"/>
                <w:szCs w:val="20"/>
              </w:rPr>
              <w:t xml:space="preserve">(</w:t>
            </w:r>
            <w:r>
              <w:rPr>
                <w:rStyle w:val="1114"/>
                <w:sz w:val="20"/>
                <w:szCs w:val="20"/>
              </w:rPr>
              <w:t xml:space="preserve">заполнить поле</w:t>
            </w:r>
            <w:r>
              <w:rPr>
                <w:rStyle w:val="1114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114"/>
                <w:sz w:val="20"/>
                <w:szCs w:val="20"/>
              </w:rPr>
              <w:t xml:space="preserve">(</w:t>
            </w:r>
            <w:r>
              <w:rPr>
                <w:rStyle w:val="1114"/>
                <w:sz w:val="20"/>
                <w:szCs w:val="20"/>
              </w:rPr>
              <w:t xml:space="preserve">заполнить поле</w:t>
            </w:r>
            <w:r>
              <w:rPr>
                <w:rStyle w:val="1114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ind w:firstLine="0"/>
        <w:jc w:val="center"/>
        <w:widowControl w:val="off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[Сведения о цене указываются</w:t>
      </w:r>
      <w:r>
        <w:rPr>
          <w:sz w:val="24"/>
          <w:szCs w:val="24"/>
          <w:highlight w:val="yellow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98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</w:t>
      </w:r>
      <w:r>
        <w:rPr>
          <w:sz w:val="24"/>
          <w:szCs w:val="24"/>
        </w:rPr>
        <w:t xml:space="preserve">адрес: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 ___________________</w:t>
      </w:r>
      <w:r>
        <w:rPr>
          <w:sz w:val="24"/>
          <w:szCs w:val="24"/>
        </w:rPr>
        <w:t xml:space="preserve">Факс:_</w:t>
      </w:r>
      <w:r>
        <w:rPr>
          <w:sz w:val="24"/>
          <w:szCs w:val="24"/>
        </w:rPr>
        <w:t xml:space="preserve">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</w:t>
      </w:r>
      <w:r>
        <w:rPr>
          <w:sz w:val="24"/>
          <w:szCs w:val="24"/>
        </w:rPr>
        <w:t xml:space="preserve">адрес: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___________________/КПП:_______________________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</w:t>
      </w:r>
      <w:r>
        <w:rPr>
          <w:sz w:val="24"/>
          <w:szCs w:val="24"/>
        </w:rPr>
        <w:t xml:space="preserve">счет:_</w:t>
      </w:r>
      <w:r>
        <w:rPr>
          <w:sz w:val="24"/>
          <w:szCs w:val="24"/>
        </w:rPr>
        <w:t xml:space="preserve">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</w:t>
      </w:r>
      <w:r>
        <w:rPr>
          <w:sz w:val="24"/>
          <w:szCs w:val="24"/>
        </w:rPr>
        <w:t xml:space="preserve">счет: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trike/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</w:t>
      </w: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</w:p>
    <w:p>
      <w:pPr>
        <w:ind w:firstLine="0"/>
        <w:spacing w:line="240" w:lineRule="auto"/>
        <w:rPr>
          <w:strike/>
          <w:sz w:val="24"/>
          <w:szCs w:val="24"/>
          <w:highlight w:val="none"/>
        </w:rPr>
      </w:pPr>
      <w:r>
        <w:rPr>
          <w:strike/>
          <w:sz w:val="24"/>
          <w:szCs w:val="24"/>
          <w:highlight w:val="none"/>
        </w:rPr>
      </w:r>
      <w:r>
        <w:rPr>
          <w:strike/>
          <w:sz w:val="24"/>
          <w:szCs w:val="24"/>
          <w:highlight w:val="none"/>
        </w:rPr>
      </w:r>
      <w:r>
        <w:rPr>
          <w:strike/>
          <w:sz w:val="24"/>
          <w:szCs w:val="24"/>
          <w:highlight w:val="none"/>
        </w:rPr>
      </w:r>
    </w:p>
    <w:tbl>
      <w:tblPr>
        <w:tblW w:w="10307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12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641"/>
        <w:gridCol w:w="300"/>
        <w:gridCol w:w="536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641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365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41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" w:type="dxa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6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0"/>
        <w:tabs>
          <w:tab w:val="left" w:pos="1080" w:leader="none"/>
        </w:tabs>
        <w:rPr>
          <w:b/>
          <w:highlight w:val="white"/>
        </w:rPr>
      </w:pPr>
      <w:r>
        <w:rPr>
          <w:b/>
          <w:sz w:val="20"/>
          <w:szCs w:val="20"/>
          <w:highlight w:val="white"/>
        </w:rPr>
        <w:t xml:space="preserve">М.П.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720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103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20.25pt;height:438.75pt;mso-wrap-distance-left:0.00pt;mso-wrap-distance-top:0.00pt;mso-wrap-distance-right:0.00pt;mso-wrap-distance-bottom:0.00pt;" filled="f" stroked="f">
            <v:path textboxrect="0,0,0,0"/>
            <v:imagedata r:id="rId19" o:title=""/>
          </v:shape>
          <o:OLEObject DrawAspect="Content" r:id="rId20" ObjectID="_1525040" ProgID="Acrobat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16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16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</w:t>
      </w:r>
      <w:r>
        <w:rPr>
          <w:sz w:val="24"/>
          <w:szCs w:val="24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»,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</w:t>
      </w:r>
      <w:r>
        <w:rPr>
          <w:color w:val="000000"/>
          <w:sz w:val="24"/>
          <w:szCs w:val="24"/>
        </w:rPr>
        <w:t xml:space="preserve">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и дочерних обществ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утвержденной решением Совета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»/ДО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</w:t>
      </w:r>
      <w:r>
        <w:rPr>
          <w:b/>
          <w:i/>
          <w:iCs/>
          <w:color w:val="000000"/>
          <w:sz w:val="24"/>
          <w:szCs w:val="24"/>
        </w:rPr>
        <w:t xml:space="preserve">Россети</w:t>
      </w:r>
      <w:r>
        <w:rPr>
          <w:b/>
          <w:i/>
          <w:iCs/>
          <w:color w:val="000000"/>
          <w:sz w:val="24"/>
          <w:szCs w:val="24"/>
        </w:rPr>
        <w:t xml:space="preserve">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21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2" w:tooltip="https://www.mrsk-ural.ru/company/anticorruption/" w:history="1">
        <w:r>
          <w:rPr>
            <w:rStyle w:val="1063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1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3</w:t>
    </w:r>
    <w:r>
      <w:rPr>
        <w:sz w:val="24"/>
        <w:szCs w:val="24"/>
      </w:rPr>
      <w:fldChar w:fldCharType="end"/>
    </w:r>
    <w:r>
      <w:rPr>
        <w:sz w:val="24"/>
        <w:szCs w:val="24"/>
      </w:rPr>
    </w:r>
    <w:r>
      <w:rPr>
        <w:sz w:val="24"/>
        <w:szCs w:val="24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1"/>
      <w:jc w:val="center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1061"/>
      <w:rPr>
        <w:sz w:val="24"/>
        <w:szCs w:val="24"/>
      </w:rPr>
    </w:pPr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1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44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1040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1041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1042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1043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1044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90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1037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1038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1039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7"/>
  </w:num>
  <w:num w:numId="9">
    <w:abstractNumId w:val="15"/>
  </w:num>
  <w:num w:numId="10">
    <w:abstractNumId w:val="2"/>
  </w:num>
  <w:num w:numId="11">
    <w:abstractNumId w:val="20"/>
  </w:num>
  <w:num w:numId="12">
    <w:abstractNumId w:val="21"/>
  </w:num>
  <w:num w:numId="13">
    <w:abstractNumId w:val="4"/>
  </w:num>
  <w:num w:numId="14">
    <w:abstractNumId w:val="10"/>
  </w:num>
  <w:num w:numId="15">
    <w:abstractNumId w:val="6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8"/>
  </w:num>
  <w:num w:numId="21">
    <w:abstractNumId w:val="22"/>
  </w:num>
  <w:num w:numId="22">
    <w:abstractNumId w:val="23"/>
  </w:num>
  <w:num w:numId="23">
    <w:abstractNumId w:val="14"/>
  </w:num>
  <w:num w:numId="24">
    <w:abstractNumId w:val="18"/>
  </w:num>
  <w:num w:numId="25">
    <w:abstractNumId w:val="11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  <w:num w:numId="59">
    <w:abstractNumId w:val="57"/>
  </w:num>
  <w:num w:numId="60">
    <w:abstractNumId w:val="58"/>
  </w:num>
  <w:num w:numId="61">
    <w:abstractNumId w:val="59"/>
  </w:num>
  <w:num w:numId="62">
    <w:abstractNumId w:val="60"/>
  </w:num>
  <w:num w:numId="63">
    <w:abstractNumId w:val="61"/>
  </w:num>
  <w:num w:numId="64">
    <w:abstractNumId w:val="62"/>
  </w:num>
  <w:num w:numId="65">
    <w:abstractNumId w:val="63"/>
  </w:num>
  <w:num w:numId="66">
    <w:abstractNumId w:val="64"/>
  </w:num>
  <w:num w:numId="67">
    <w:abstractNumId w:val="65"/>
  </w:num>
  <w:num w:numId="68">
    <w:abstractNumId w:val="66"/>
  </w:num>
  <w:num w:numId="69">
    <w:abstractNumId w:val="67"/>
  </w:num>
  <w:num w:numId="70">
    <w:abstractNumId w:val="68"/>
  </w:num>
  <w:num w:numId="71">
    <w:abstractNumId w:val="69"/>
  </w:num>
  <w:num w:numId="72">
    <w:abstractNumId w:val="70"/>
  </w:num>
  <w:num w:numId="73">
    <w:abstractNumId w:val="71"/>
  </w:num>
  <w:num w:numId="74">
    <w:abstractNumId w:val="72"/>
  </w:num>
  <w:num w:numId="75">
    <w:abstractNumId w:val="7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86">
    <w:name w:val="Heading 1 Char"/>
    <w:basedOn w:val="1045"/>
    <w:link w:val="1036"/>
    <w:uiPriority w:val="9"/>
    <w:rPr>
      <w:rFonts w:ascii="Arial" w:hAnsi="Arial" w:eastAsia="Arial" w:cs="Arial"/>
      <w:sz w:val="40"/>
      <w:szCs w:val="40"/>
    </w:rPr>
  </w:style>
  <w:style w:type="character" w:styleId="887">
    <w:name w:val="Heading 2 Char"/>
    <w:basedOn w:val="1045"/>
    <w:link w:val="1037"/>
    <w:uiPriority w:val="9"/>
    <w:rPr>
      <w:rFonts w:ascii="Arial" w:hAnsi="Arial" w:eastAsia="Arial" w:cs="Arial"/>
      <w:sz w:val="34"/>
    </w:rPr>
  </w:style>
  <w:style w:type="character" w:styleId="888">
    <w:name w:val="Heading 3 Char"/>
    <w:basedOn w:val="1045"/>
    <w:link w:val="1038"/>
    <w:uiPriority w:val="9"/>
    <w:rPr>
      <w:rFonts w:ascii="Arial" w:hAnsi="Arial" w:eastAsia="Arial" w:cs="Arial"/>
      <w:sz w:val="30"/>
      <w:szCs w:val="30"/>
    </w:rPr>
  </w:style>
  <w:style w:type="character" w:styleId="889">
    <w:name w:val="Heading 4 Char"/>
    <w:basedOn w:val="1045"/>
    <w:link w:val="1039"/>
    <w:uiPriority w:val="9"/>
    <w:rPr>
      <w:rFonts w:ascii="Arial" w:hAnsi="Arial" w:eastAsia="Arial" w:cs="Arial"/>
      <w:b/>
      <w:bCs/>
      <w:sz w:val="26"/>
      <w:szCs w:val="26"/>
    </w:rPr>
  </w:style>
  <w:style w:type="character" w:styleId="890">
    <w:name w:val="Heading 5 Char"/>
    <w:basedOn w:val="1045"/>
    <w:link w:val="1040"/>
    <w:uiPriority w:val="9"/>
    <w:rPr>
      <w:rFonts w:ascii="Arial" w:hAnsi="Arial" w:eastAsia="Arial" w:cs="Arial"/>
      <w:b/>
      <w:bCs/>
      <w:sz w:val="24"/>
      <w:szCs w:val="24"/>
    </w:rPr>
  </w:style>
  <w:style w:type="character" w:styleId="891">
    <w:name w:val="Heading 6 Char"/>
    <w:basedOn w:val="1045"/>
    <w:link w:val="1041"/>
    <w:uiPriority w:val="9"/>
    <w:rPr>
      <w:rFonts w:ascii="Arial" w:hAnsi="Arial" w:eastAsia="Arial" w:cs="Arial"/>
      <w:b/>
      <w:bCs/>
      <w:sz w:val="22"/>
      <w:szCs w:val="22"/>
    </w:rPr>
  </w:style>
  <w:style w:type="character" w:styleId="892">
    <w:name w:val="Heading 7 Char"/>
    <w:basedOn w:val="1045"/>
    <w:link w:val="104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93">
    <w:name w:val="Heading 8 Char"/>
    <w:basedOn w:val="1045"/>
    <w:link w:val="1043"/>
    <w:uiPriority w:val="9"/>
    <w:rPr>
      <w:rFonts w:ascii="Arial" w:hAnsi="Arial" w:eastAsia="Arial" w:cs="Arial"/>
      <w:i/>
      <w:iCs/>
      <w:sz w:val="22"/>
      <w:szCs w:val="22"/>
    </w:rPr>
  </w:style>
  <w:style w:type="character" w:styleId="894">
    <w:name w:val="Heading 9 Char"/>
    <w:basedOn w:val="1045"/>
    <w:link w:val="1044"/>
    <w:uiPriority w:val="9"/>
    <w:rPr>
      <w:rFonts w:ascii="Arial" w:hAnsi="Arial" w:eastAsia="Arial" w:cs="Arial"/>
      <w:i/>
      <w:iCs/>
      <w:sz w:val="21"/>
      <w:szCs w:val="21"/>
    </w:rPr>
  </w:style>
  <w:style w:type="character" w:styleId="895">
    <w:name w:val="Title Char"/>
    <w:basedOn w:val="1045"/>
    <w:link w:val="1107"/>
    <w:uiPriority w:val="10"/>
    <w:rPr>
      <w:sz w:val="48"/>
      <w:szCs w:val="48"/>
    </w:rPr>
  </w:style>
  <w:style w:type="paragraph" w:styleId="896">
    <w:name w:val="Subtitle"/>
    <w:basedOn w:val="1035"/>
    <w:next w:val="1035"/>
    <w:link w:val="897"/>
    <w:uiPriority w:val="11"/>
    <w:qFormat/>
    <w:pPr>
      <w:spacing w:before="200" w:after="200"/>
    </w:pPr>
    <w:rPr>
      <w:sz w:val="24"/>
      <w:szCs w:val="24"/>
    </w:rPr>
  </w:style>
  <w:style w:type="character" w:styleId="897">
    <w:name w:val="Subtitle Char"/>
    <w:basedOn w:val="1045"/>
    <w:link w:val="896"/>
    <w:uiPriority w:val="11"/>
    <w:rPr>
      <w:sz w:val="24"/>
      <w:szCs w:val="24"/>
    </w:rPr>
  </w:style>
  <w:style w:type="paragraph" w:styleId="898">
    <w:name w:val="Quote"/>
    <w:basedOn w:val="1035"/>
    <w:next w:val="1035"/>
    <w:link w:val="899"/>
    <w:uiPriority w:val="29"/>
    <w:qFormat/>
    <w:pPr>
      <w:ind w:left="720" w:right="720"/>
    </w:pPr>
    <w:rPr>
      <w:i/>
    </w:rPr>
  </w:style>
  <w:style w:type="character" w:styleId="899">
    <w:name w:val="Quote Char"/>
    <w:link w:val="898"/>
    <w:uiPriority w:val="29"/>
    <w:rPr>
      <w:i/>
    </w:rPr>
  </w:style>
  <w:style w:type="paragraph" w:styleId="900">
    <w:name w:val="Intense Quote"/>
    <w:basedOn w:val="1035"/>
    <w:next w:val="1035"/>
    <w:link w:val="9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1">
    <w:name w:val="Intense Quote Char"/>
    <w:link w:val="900"/>
    <w:uiPriority w:val="30"/>
    <w:rPr>
      <w:i/>
    </w:rPr>
  </w:style>
  <w:style w:type="character" w:styleId="902">
    <w:name w:val="Header Char"/>
    <w:basedOn w:val="1045"/>
    <w:link w:val="1059"/>
    <w:uiPriority w:val="99"/>
  </w:style>
  <w:style w:type="character" w:styleId="903">
    <w:name w:val="Footer Char"/>
    <w:basedOn w:val="1045"/>
    <w:link w:val="1061"/>
    <w:uiPriority w:val="99"/>
  </w:style>
  <w:style w:type="character" w:styleId="904">
    <w:name w:val="Caption Char"/>
    <w:basedOn w:val="1045"/>
    <w:link w:val="1077"/>
    <w:uiPriority w:val="35"/>
    <w:rPr>
      <w:b/>
      <w:bCs/>
      <w:color w:val="4f81bd" w:themeColor="accent1"/>
      <w:sz w:val="18"/>
      <w:szCs w:val="18"/>
    </w:rPr>
  </w:style>
  <w:style w:type="table" w:styleId="905">
    <w:name w:val="Table Grid"/>
    <w:basedOn w:val="104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6">
    <w:name w:val="Table Grid Light"/>
    <w:basedOn w:val="10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7">
    <w:name w:val="Plain Table 1"/>
    <w:basedOn w:val="10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8">
    <w:name w:val="Plain Table 2"/>
    <w:basedOn w:val="104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9">
    <w:name w:val="Plain Table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0">
    <w:name w:val="Plain Table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Plain Table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2">
    <w:name w:val="Grid Table 1 Light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Grid Table 1 Light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Grid Table 1 Light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Grid Table 1 Light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Grid Table 1 Light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Grid Table 1 Light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Grid Table 1 Light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Grid Table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2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2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2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2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2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2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3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3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3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3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3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3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4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4">
    <w:name w:val="Grid Table 4 - Accent 1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35">
    <w:name w:val="Grid Table 4 - Accent 2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36">
    <w:name w:val="Grid Table 4 - Accent 3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37">
    <w:name w:val="Grid Table 4 - Accent 4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38">
    <w:name w:val="Grid Table 4 - Accent 5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9">
    <w:name w:val="Grid Table 4 - Accent 6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40">
    <w:name w:val="Grid Table 5 Dark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1">
    <w:name w:val="Grid Table 5 Dark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42">
    <w:name w:val="Grid Table 5 Dark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43">
    <w:name w:val="Grid Table 5 Dark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44">
    <w:name w:val="Grid Table 5 Dark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45">
    <w:name w:val="Grid Table 5 Dark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46">
    <w:name w:val="Grid Table 5 Dark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47">
    <w:name w:val="Grid Table 6 Colorful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48">
    <w:name w:val="Grid Table 6 Colorful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9">
    <w:name w:val="Grid Table 6 Colorful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50">
    <w:name w:val="Grid Table 6 Colorful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51">
    <w:name w:val="Grid Table 6 Colorful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2">
    <w:name w:val="Grid Table 6 Colorful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3">
    <w:name w:val="Grid Table 6 Colorful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4">
    <w:name w:val="Grid Table 7 Colorful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7 Colorful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7 Colorful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7 Colorful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7 Colorful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7 Colorful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Grid Table 7 Colorful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1 Light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List Table 1 Light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List Table 1 Light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List Table 1 Light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List Table 1 Light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List Table 1 Light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List Table 1 Light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List Table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9">
    <w:name w:val="List Table 2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70">
    <w:name w:val="List Table 2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1">
    <w:name w:val="List Table 2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72">
    <w:name w:val="List Table 2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3">
    <w:name w:val="List Table 2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4">
    <w:name w:val="List Table 2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75">
    <w:name w:val="List Table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3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3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3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3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3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3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4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4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4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4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4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4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>
    <w:name w:val="List Table 5 Dark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0">
    <w:name w:val="List Table 5 Dark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1">
    <w:name w:val="List Table 5 Dark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2">
    <w:name w:val="List Table 5 Dark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3">
    <w:name w:val="List Table 5 Dark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4">
    <w:name w:val="List Table 5 Dark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5">
    <w:name w:val="List Table 5 Dark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6">
    <w:name w:val="List Table 6 Colorful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97">
    <w:name w:val="List Table 6 Colorful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98">
    <w:name w:val="List Table 6 Colorful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9">
    <w:name w:val="List Table 6 Colorful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00">
    <w:name w:val="List Table 6 Colorful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1">
    <w:name w:val="List Table 6 Colorful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02">
    <w:name w:val="List Table 6 Colorful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3">
    <w:name w:val="List Table 7 Colorful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04">
    <w:name w:val="List Table 7 Colorful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05">
    <w:name w:val="List Table 7 Colorful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06">
    <w:name w:val="List Table 7 Colorful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07">
    <w:name w:val="List Table 7 Colorful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08">
    <w:name w:val="List Table 7 Colorful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09">
    <w:name w:val="List Table 7 Colorful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10">
    <w:name w:val="Lined - Accent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1">
    <w:name w:val="Lined - Accent 1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12">
    <w:name w:val="Lined - Accent 2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13">
    <w:name w:val="Lined - Accent 3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14">
    <w:name w:val="Lined - Accent 4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15">
    <w:name w:val="Lined - Accent 5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16">
    <w:name w:val="Lined - Accent 6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17">
    <w:name w:val="Bordered &amp; Lined - Accent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8">
    <w:name w:val="Bordered &amp; Lined - Accent 1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19">
    <w:name w:val="Bordered &amp; Lined - Accent 2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20">
    <w:name w:val="Bordered &amp; Lined - Accent 3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21">
    <w:name w:val="Bordered &amp; Lined - Accent 4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22">
    <w:name w:val="Bordered &amp; Lined - Accent 5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23">
    <w:name w:val="Bordered &amp; Lined - Accent 6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24">
    <w:name w:val="Bordered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25">
    <w:name w:val="Bordered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26">
    <w:name w:val="Bordered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27">
    <w:name w:val="Bordered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28">
    <w:name w:val="Bordered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9">
    <w:name w:val="Bordered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30">
    <w:name w:val="Bordered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1">
    <w:name w:val="Footnote Text Char"/>
    <w:link w:val="1074"/>
    <w:uiPriority w:val="99"/>
    <w:rPr>
      <w:sz w:val="18"/>
    </w:rPr>
  </w:style>
  <w:style w:type="character" w:styleId="1032">
    <w:name w:val="Endnote Text Char"/>
    <w:link w:val="1111"/>
    <w:uiPriority w:val="99"/>
    <w:rPr>
      <w:sz w:val="20"/>
    </w:rPr>
  </w:style>
  <w:style w:type="paragraph" w:styleId="1033">
    <w:name w:val="TOC Heading"/>
    <w:uiPriority w:val="39"/>
    <w:unhideWhenUsed/>
  </w:style>
  <w:style w:type="paragraph" w:styleId="1034">
    <w:name w:val="table of figures"/>
    <w:basedOn w:val="1035"/>
    <w:next w:val="1035"/>
    <w:uiPriority w:val="99"/>
    <w:unhideWhenUsed/>
    <w:pPr>
      <w:spacing w:after="0" w:afterAutospacing="0"/>
    </w:pPr>
  </w:style>
  <w:style w:type="paragraph" w:styleId="1035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36">
    <w:name w:val="Heading 1"/>
    <w:basedOn w:val="1035"/>
    <w:next w:val="1035"/>
    <w:link w:val="1048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1037">
    <w:name w:val="Heading 2"/>
    <w:basedOn w:val="1035"/>
    <w:next w:val="1035"/>
    <w:link w:val="1049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1038">
    <w:name w:val="Heading 3"/>
    <w:basedOn w:val="1035"/>
    <w:next w:val="1035"/>
    <w:link w:val="1050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1039">
    <w:name w:val="Heading 4"/>
    <w:basedOn w:val="1035"/>
    <w:next w:val="1035"/>
    <w:link w:val="1051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1040">
    <w:name w:val="Heading 5"/>
    <w:basedOn w:val="1035"/>
    <w:next w:val="1035"/>
    <w:link w:val="1052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1041">
    <w:name w:val="Heading 6"/>
    <w:basedOn w:val="1035"/>
    <w:next w:val="1035"/>
    <w:link w:val="1053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1042">
    <w:name w:val="Heading 7"/>
    <w:basedOn w:val="1035"/>
    <w:next w:val="1035"/>
    <w:link w:val="1054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1043">
    <w:name w:val="Heading 8"/>
    <w:basedOn w:val="1035"/>
    <w:next w:val="1035"/>
    <w:link w:val="1055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1044">
    <w:name w:val="Heading 9"/>
    <w:basedOn w:val="1035"/>
    <w:next w:val="1035"/>
    <w:link w:val="1056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1045" w:default="1">
    <w:name w:val="Default Paragraph Font"/>
    <w:uiPriority w:val="1"/>
    <w:semiHidden/>
    <w:unhideWhenUsed/>
  </w:style>
  <w:style w:type="table" w:styleId="104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47" w:default="1">
    <w:name w:val="No List"/>
    <w:uiPriority w:val="99"/>
    <w:semiHidden/>
    <w:unhideWhenUsed/>
  </w:style>
  <w:style w:type="character" w:styleId="1048" w:customStyle="1">
    <w:name w:val="Заголовок 1 Знак"/>
    <w:link w:val="1036"/>
    <w:rPr>
      <w:rFonts w:ascii="Cambria" w:hAnsi="Cambria"/>
      <w:b/>
      <w:bCs/>
      <w:sz w:val="32"/>
      <w:szCs w:val="32"/>
    </w:rPr>
  </w:style>
  <w:style w:type="character" w:styleId="1049" w:customStyle="1">
    <w:name w:val="Заголовок 2 Знак"/>
    <w:link w:val="1037"/>
    <w:rPr>
      <w:rFonts w:ascii="Cambria" w:hAnsi="Cambria"/>
      <w:b/>
      <w:bCs/>
      <w:i/>
      <w:iCs/>
      <w:sz w:val="28"/>
      <w:szCs w:val="28"/>
    </w:rPr>
  </w:style>
  <w:style w:type="character" w:styleId="1050" w:customStyle="1">
    <w:name w:val="Заголовок 3 Знак"/>
    <w:link w:val="1038"/>
    <w:uiPriority w:val="9"/>
    <w:rPr>
      <w:rFonts w:ascii="Cambria" w:hAnsi="Cambria"/>
      <w:b/>
      <w:bCs/>
      <w:sz w:val="26"/>
      <w:szCs w:val="26"/>
    </w:rPr>
  </w:style>
  <w:style w:type="character" w:styleId="1051" w:customStyle="1">
    <w:name w:val="Заголовок 4 Знак"/>
    <w:link w:val="1039"/>
    <w:uiPriority w:val="9"/>
    <w:rPr>
      <w:rFonts w:ascii="Calibri" w:hAnsi="Calibri"/>
      <w:b/>
      <w:bCs/>
      <w:sz w:val="28"/>
      <w:szCs w:val="28"/>
    </w:rPr>
  </w:style>
  <w:style w:type="character" w:styleId="1052" w:customStyle="1">
    <w:name w:val="Заголовок 5 Знак"/>
    <w:link w:val="1040"/>
    <w:uiPriority w:val="9"/>
    <w:rPr>
      <w:rFonts w:ascii="Calibri" w:hAnsi="Calibri"/>
      <w:b/>
      <w:bCs/>
      <w:i/>
      <w:iCs/>
      <w:sz w:val="26"/>
      <w:szCs w:val="26"/>
    </w:rPr>
  </w:style>
  <w:style w:type="character" w:styleId="1053" w:customStyle="1">
    <w:name w:val="Заголовок 6 Знак"/>
    <w:link w:val="1041"/>
    <w:uiPriority w:val="9"/>
    <w:rPr>
      <w:rFonts w:ascii="Calibri" w:hAnsi="Calibri"/>
      <w:b/>
      <w:bCs/>
    </w:rPr>
  </w:style>
  <w:style w:type="character" w:styleId="1054" w:customStyle="1">
    <w:name w:val="Заголовок 7 Знак"/>
    <w:link w:val="1042"/>
    <w:uiPriority w:val="9"/>
    <w:rPr>
      <w:rFonts w:ascii="Calibri" w:hAnsi="Calibri"/>
      <w:sz w:val="24"/>
      <w:szCs w:val="24"/>
    </w:rPr>
  </w:style>
  <w:style w:type="character" w:styleId="1055" w:customStyle="1">
    <w:name w:val="Заголовок 8 Знак"/>
    <w:link w:val="1043"/>
    <w:uiPriority w:val="9"/>
    <w:rPr>
      <w:rFonts w:ascii="Calibri" w:hAnsi="Calibri"/>
      <w:i/>
      <w:iCs/>
      <w:sz w:val="24"/>
      <w:szCs w:val="24"/>
    </w:rPr>
  </w:style>
  <w:style w:type="character" w:styleId="1056" w:customStyle="1">
    <w:name w:val="Заголовок 9 Знак"/>
    <w:link w:val="1044"/>
    <w:uiPriority w:val="9"/>
    <w:rPr>
      <w:rFonts w:ascii="Cambria" w:hAnsi="Cambria"/>
    </w:rPr>
  </w:style>
  <w:style w:type="paragraph" w:styleId="1057">
    <w:name w:val="Balloon Text"/>
    <w:basedOn w:val="1035"/>
    <w:link w:val="1058"/>
    <w:uiPriority w:val="99"/>
    <w:semiHidden/>
    <w:rPr>
      <w:rFonts w:ascii="Tahoma" w:hAnsi="Tahoma"/>
      <w:sz w:val="16"/>
      <w:szCs w:val="16"/>
    </w:rPr>
  </w:style>
  <w:style w:type="character" w:styleId="1058" w:customStyle="1">
    <w:name w:val="Текст выноски Знак"/>
    <w:link w:val="1057"/>
    <w:uiPriority w:val="99"/>
    <w:semiHidden/>
    <w:rPr>
      <w:rFonts w:ascii="Tahoma" w:hAnsi="Tahoma" w:cs="Tahoma"/>
      <w:sz w:val="16"/>
      <w:szCs w:val="16"/>
    </w:rPr>
  </w:style>
  <w:style w:type="paragraph" w:styleId="1059">
    <w:name w:val="Header"/>
    <w:basedOn w:val="1035"/>
    <w:link w:val="1060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1060" w:customStyle="1">
    <w:name w:val="Верхний колонтитул Знак"/>
    <w:link w:val="1059"/>
    <w:uiPriority w:val="99"/>
    <w:rPr>
      <w:sz w:val="28"/>
      <w:szCs w:val="28"/>
    </w:rPr>
  </w:style>
  <w:style w:type="paragraph" w:styleId="1061">
    <w:name w:val="Footer"/>
    <w:basedOn w:val="1035"/>
    <w:link w:val="1062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1062" w:customStyle="1">
    <w:name w:val="Нижний колонтитул Знак"/>
    <w:link w:val="1061"/>
    <w:uiPriority w:val="99"/>
    <w:rPr>
      <w:sz w:val="28"/>
      <w:szCs w:val="28"/>
    </w:rPr>
  </w:style>
  <w:style w:type="character" w:styleId="1063">
    <w:name w:val="Hyperlink"/>
    <w:rPr>
      <w:color w:val="0000ff"/>
      <w:u w:val="single"/>
    </w:rPr>
  </w:style>
  <w:style w:type="character" w:styleId="1064">
    <w:name w:val="footnote reference"/>
    <w:uiPriority w:val="99"/>
    <w:rPr>
      <w:vertAlign w:val="superscript"/>
    </w:rPr>
  </w:style>
  <w:style w:type="character" w:styleId="1065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066">
    <w:name w:val="toc 1"/>
    <w:basedOn w:val="1035"/>
    <w:next w:val="1035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1067">
    <w:name w:val="toc 2"/>
    <w:basedOn w:val="1035"/>
    <w:next w:val="1035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1068">
    <w:name w:val="toc 3"/>
    <w:basedOn w:val="1035"/>
    <w:next w:val="1035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1069">
    <w:name w:val="toc 4"/>
    <w:basedOn w:val="1035"/>
    <w:next w:val="1035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70">
    <w:name w:val="FollowedHyperlink"/>
    <w:uiPriority w:val="99"/>
    <w:rPr>
      <w:color w:val="800080"/>
      <w:u w:val="single"/>
    </w:rPr>
  </w:style>
  <w:style w:type="paragraph" w:styleId="1071">
    <w:name w:val="Document Map"/>
    <w:basedOn w:val="1035"/>
    <w:link w:val="1072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72" w:customStyle="1">
    <w:name w:val="Схема документа Знак"/>
    <w:link w:val="1071"/>
    <w:uiPriority w:val="99"/>
    <w:semiHidden/>
    <w:rPr>
      <w:rFonts w:ascii="Tahoma" w:hAnsi="Tahoma" w:cs="Tahoma"/>
      <w:sz w:val="16"/>
      <w:szCs w:val="16"/>
    </w:rPr>
  </w:style>
  <w:style w:type="paragraph" w:styleId="1073" w:customStyle="1">
    <w:name w:val="Таблица шапка"/>
    <w:basedOn w:val="1035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74">
    <w:name w:val="footnote text"/>
    <w:basedOn w:val="1035"/>
    <w:link w:val="1075"/>
    <w:uiPriority w:val="99"/>
    <w:semiHidden/>
    <w:pPr>
      <w:spacing w:line="240" w:lineRule="auto"/>
    </w:pPr>
    <w:rPr>
      <w:sz w:val="20"/>
      <w:szCs w:val="20"/>
    </w:rPr>
  </w:style>
  <w:style w:type="character" w:styleId="1075" w:customStyle="1">
    <w:name w:val="Текст сноски Знак"/>
    <w:link w:val="1074"/>
    <w:uiPriority w:val="99"/>
    <w:semiHidden/>
    <w:rPr>
      <w:sz w:val="20"/>
      <w:szCs w:val="20"/>
    </w:rPr>
  </w:style>
  <w:style w:type="paragraph" w:styleId="1076" w:customStyle="1">
    <w:name w:val="Таблица текст"/>
    <w:basedOn w:val="1035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77">
    <w:name w:val="Caption"/>
    <w:basedOn w:val="1035"/>
    <w:next w:val="1035"/>
    <w:link w:val="904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78">
    <w:name w:val="toc 5"/>
    <w:basedOn w:val="1035"/>
    <w:next w:val="1035"/>
    <w:uiPriority w:val="99"/>
    <w:semiHidden/>
    <w:pPr>
      <w:ind w:left="1120"/>
      <w:jc w:val="left"/>
    </w:pPr>
    <w:rPr>
      <w:sz w:val="18"/>
      <w:szCs w:val="18"/>
    </w:rPr>
  </w:style>
  <w:style w:type="paragraph" w:styleId="1079">
    <w:name w:val="toc 6"/>
    <w:basedOn w:val="1035"/>
    <w:next w:val="1035"/>
    <w:uiPriority w:val="99"/>
    <w:semiHidden/>
    <w:pPr>
      <w:ind w:left="1400"/>
      <w:jc w:val="left"/>
    </w:pPr>
    <w:rPr>
      <w:sz w:val="18"/>
      <w:szCs w:val="18"/>
    </w:rPr>
  </w:style>
  <w:style w:type="paragraph" w:styleId="1080">
    <w:name w:val="toc 7"/>
    <w:basedOn w:val="1035"/>
    <w:next w:val="1035"/>
    <w:uiPriority w:val="99"/>
    <w:semiHidden/>
    <w:pPr>
      <w:ind w:left="1680"/>
      <w:jc w:val="left"/>
    </w:pPr>
    <w:rPr>
      <w:sz w:val="18"/>
      <w:szCs w:val="18"/>
    </w:rPr>
  </w:style>
  <w:style w:type="paragraph" w:styleId="1081">
    <w:name w:val="toc 8"/>
    <w:basedOn w:val="1035"/>
    <w:next w:val="1035"/>
    <w:uiPriority w:val="99"/>
    <w:semiHidden/>
    <w:pPr>
      <w:ind w:left="1960"/>
      <w:jc w:val="left"/>
    </w:pPr>
    <w:rPr>
      <w:sz w:val="18"/>
      <w:szCs w:val="18"/>
    </w:rPr>
  </w:style>
  <w:style w:type="paragraph" w:styleId="1082">
    <w:name w:val="toc 9"/>
    <w:basedOn w:val="1035"/>
    <w:next w:val="1035"/>
    <w:uiPriority w:val="99"/>
    <w:semiHidden/>
    <w:pPr>
      <w:ind w:left="2240"/>
      <w:jc w:val="left"/>
    </w:pPr>
    <w:rPr>
      <w:sz w:val="18"/>
      <w:szCs w:val="18"/>
    </w:rPr>
  </w:style>
  <w:style w:type="paragraph" w:styleId="1083" w:customStyle="1">
    <w:name w:val="маркированный"/>
    <w:basedOn w:val="1035"/>
    <w:uiPriority w:val="99"/>
    <w:pPr>
      <w:ind w:firstLine="0"/>
    </w:pPr>
  </w:style>
  <w:style w:type="paragraph" w:styleId="1084" w:customStyle="1">
    <w:name w:val="Пункт"/>
    <w:basedOn w:val="1035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85" w:customStyle="1">
    <w:name w:val="Пункт Знак"/>
    <w:rPr>
      <w:sz w:val="28"/>
      <w:szCs w:val="28"/>
      <w:lang w:val="ru-RU" w:eastAsia="ru-RU"/>
    </w:rPr>
  </w:style>
  <w:style w:type="paragraph" w:styleId="1086" w:customStyle="1">
    <w:name w:val="Подпункт"/>
    <w:basedOn w:val="1084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87" w:customStyle="1">
    <w:name w:val="Подпункт Знак"/>
    <w:uiPriority w:val="99"/>
  </w:style>
  <w:style w:type="character" w:styleId="1088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89" w:customStyle="1">
    <w:name w:val="Пункт-2"/>
    <w:basedOn w:val="1084"/>
    <w:uiPriority w:val="99"/>
    <w:pPr>
      <w:keepNext/>
      <w:outlineLvl w:val="2"/>
    </w:pPr>
    <w:rPr>
      <w:b/>
      <w:bCs/>
    </w:rPr>
  </w:style>
  <w:style w:type="paragraph" w:styleId="1090" w:customStyle="1">
    <w:name w:val="Подподпункт"/>
    <w:basedOn w:val="1086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91">
    <w:name w:val="List Number"/>
    <w:basedOn w:val="1035"/>
    <w:uiPriority w:val="99"/>
    <w:pPr>
      <w:ind w:firstLine="0"/>
      <w:spacing w:before="60"/>
    </w:pPr>
  </w:style>
  <w:style w:type="paragraph" w:styleId="1092" w:customStyle="1">
    <w:name w:val="Текст таблицы"/>
    <w:basedOn w:val="1035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93" w:customStyle="1">
    <w:name w:val="Пункт б/н"/>
    <w:basedOn w:val="1035"/>
    <w:uiPriority w:val="99"/>
    <w:pPr>
      <w:tabs>
        <w:tab w:val="left" w:pos="1134" w:leader="none"/>
      </w:tabs>
    </w:pPr>
  </w:style>
  <w:style w:type="paragraph" w:styleId="1094">
    <w:name w:val="List Bullet"/>
    <w:basedOn w:val="1035"/>
    <w:pPr>
      <w:ind w:firstLine="0"/>
    </w:pPr>
  </w:style>
  <w:style w:type="paragraph" w:styleId="1095">
    <w:name w:val="Body Text 2"/>
    <w:basedOn w:val="1035"/>
    <w:link w:val="1096"/>
    <w:uiPriority w:val="99"/>
    <w:pPr>
      <w:ind w:left="5760" w:firstLine="0"/>
      <w:jc w:val="left"/>
      <w:spacing w:line="240" w:lineRule="auto"/>
    </w:pPr>
  </w:style>
  <w:style w:type="character" w:styleId="1096" w:customStyle="1">
    <w:name w:val="Основной текст 2 Знак"/>
    <w:link w:val="1095"/>
    <w:uiPriority w:val="99"/>
    <w:semiHidden/>
    <w:rPr>
      <w:sz w:val="28"/>
      <w:szCs w:val="28"/>
    </w:rPr>
  </w:style>
  <w:style w:type="paragraph" w:styleId="1097">
    <w:name w:val="annotation text"/>
    <w:basedOn w:val="1035"/>
    <w:link w:val="1101"/>
    <w:semiHidden/>
    <w:rPr>
      <w:sz w:val="20"/>
      <w:szCs w:val="20"/>
    </w:rPr>
  </w:style>
  <w:style w:type="character" w:styleId="1098">
    <w:name w:val="annotation reference"/>
    <w:semiHidden/>
    <w:rPr>
      <w:sz w:val="16"/>
    </w:rPr>
  </w:style>
  <w:style w:type="paragraph" w:styleId="1099" w:customStyle="1">
    <w:name w:val="Пункт_3"/>
    <w:basedOn w:val="1035"/>
    <w:uiPriority w:val="99"/>
    <w:pPr>
      <w:ind w:firstLine="0"/>
      <w:spacing w:line="240" w:lineRule="auto"/>
    </w:pPr>
  </w:style>
  <w:style w:type="paragraph" w:styleId="1100">
    <w:name w:val="annotation subject"/>
    <w:basedOn w:val="1097"/>
    <w:next w:val="1097"/>
    <w:link w:val="1102"/>
    <w:uiPriority w:val="99"/>
    <w:semiHidden/>
    <w:unhideWhenUsed/>
    <w:rPr>
      <w:b/>
      <w:bCs/>
    </w:rPr>
  </w:style>
  <w:style w:type="character" w:styleId="1101" w:customStyle="1">
    <w:name w:val="Текст примечания Знак"/>
    <w:basedOn w:val="1045"/>
    <w:link w:val="1097"/>
    <w:semiHidden/>
  </w:style>
  <w:style w:type="character" w:styleId="1102" w:customStyle="1">
    <w:name w:val="Тема примечания Знак"/>
    <w:link w:val="1100"/>
    <w:uiPriority w:val="99"/>
    <w:semiHidden/>
    <w:rPr>
      <w:b/>
      <w:bCs/>
    </w:rPr>
  </w:style>
  <w:style w:type="paragraph" w:styleId="1103">
    <w:name w:val="List Paragraph"/>
    <w:basedOn w:val="1035"/>
    <w:link w:val="1118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104">
    <w:name w:val="Normal (Web)"/>
    <w:basedOn w:val="1035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105">
    <w:name w:val="Body Text"/>
    <w:basedOn w:val="1035"/>
    <w:link w:val="1106"/>
    <w:uiPriority w:val="99"/>
    <w:semiHidden/>
    <w:unhideWhenUsed/>
    <w:pPr>
      <w:spacing w:after="120"/>
    </w:pPr>
  </w:style>
  <w:style w:type="character" w:styleId="1106" w:customStyle="1">
    <w:name w:val="Основной текст Знак"/>
    <w:link w:val="1105"/>
    <w:uiPriority w:val="99"/>
    <w:semiHidden/>
    <w:rPr>
      <w:sz w:val="28"/>
      <w:szCs w:val="28"/>
    </w:rPr>
  </w:style>
  <w:style w:type="paragraph" w:styleId="1107">
    <w:name w:val="Title"/>
    <w:basedOn w:val="1035"/>
    <w:link w:val="1108"/>
    <w:qFormat/>
    <w:pPr>
      <w:ind w:firstLine="0"/>
      <w:jc w:val="center"/>
      <w:spacing w:line="240" w:lineRule="auto"/>
    </w:pPr>
    <w:rPr>
      <w:b/>
      <w:szCs w:val="20"/>
    </w:rPr>
  </w:style>
  <w:style w:type="character" w:styleId="1108" w:customStyle="1">
    <w:name w:val="Заголовок Знак"/>
    <w:link w:val="1107"/>
    <w:rPr>
      <w:b/>
      <w:sz w:val="28"/>
    </w:rPr>
  </w:style>
  <w:style w:type="paragraph" w:styleId="1109">
    <w:name w:val="Revision"/>
    <w:hidden/>
    <w:uiPriority w:val="99"/>
    <w:semiHidden/>
    <w:rPr>
      <w:sz w:val="28"/>
      <w:szCs w:val="28"/>
    </w:rPr>
  </w:style>
  <w:style w:type="character" w:styleId="1110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11">
    <w:name w:val="endnote text"/>
    <w:basedOn w:val="1035"/>
    <w:link w:val="1112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112" w:customStyle="1">
    <w:name w:val="Текст концевой сноски Знак"/>
    <w:basedOn w:val="1045"/>
    <w:link w:val="1111"/>
    <w:uiPriority w:val="99"/>
    <w:rPr>
      <w:bCs/>
      <w:lang w:eastAsia="ar-SA"/>
    </w:rPr>
  </w:style>
  <w:style w:type="character" w:styleId="1113">
    <w:name w:val="endnote reference"/>
    <w:basedOn w:val="1045"/>
    <w:uiPriority w:val="99"/>
    <w:semiHidden/>
    <w:unhideWhenUsed/>
    <w:rPr>
      <w:vertAlign w:val="superscript"/>
    </w:rPr>
  </w:style>
  <w:style w:type="character" w:styleId="1114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115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116">
    <w:name w:val="No Spacing"/>
    <w:link w:val="1117"/>
    <w:uiPriority w:val="1"/>
    <w:qFormat/>
    <w:pPr>
      <w:ind w:firstLine="567"/>
      <w:jc w:val="both"/>
    </w:pPr>
    <w:rPr>
      <w:sz w:val="28"/>
      <w:szCs w:val="28"/>
    </w:rPr>
  </w:style>
  <w:style w:type="character" w:styleId="1117" w:customStyle="1">
    <w:name w:val="Без интервала Знак"/>
    <w:link w:val="1116"/>
    <w:uiPriority w:val="1"/>
    <w:rPr>
      <w:sz w:val="28"/>
      <w:szCs w:val="28"/>
    </w:rPr>
  </w:style>
  <w:style w:type="character" w:styleId="1118" w:customStyle="1">
    <w:name w:val="Абзац списка Знак"/>
    <w:basedOn w:val="1045"/>
    <w:link w:val="1103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Relationship Id="rId15" Type="http://schemas.openxmlformats.org/officeDocument/2006/relationships/hyperlink" Target="mailto:Lebedkina-AN@rosseti-ural.ru" TargetMode="External"/><Relationship Id="rId16" Type="http://schemas.openxmlformats.org/officeDocument/2006/relationships/hyperlink" Target="mailto:Ronzhin-AV@rosseti-ural.ru" TargetMode="External"/><Relationship Id="rId17" Type="http://schemas.openxmlformats.org/officeDocument/2006/relationships/hyperlink" Target="https://rosseti-ural.ru/company/trade/" TargetMode="External"/><Relationship Id="rId18" Type="http://schemas.openxmlformats.org/officeDocument/2006/relationships/hyperlink" Target="https://tender.lot-online.ru" TargetMode="External"/><Relationship Id="rId19" Type="http://schemas.openxmlformats.org/officeDocument/2006/relationships/image" Target="media/image1.emf"/><Relationship Id="rId20" Type="http://schemas.openxmlformats.org/officeDocument/2006/relationships/oleObject" Target="embeddings/oleObject1.bin"/><Relationship Id="rId21" Type="http://schemas.openxmlformats.org/officeDocument/2006/relationships/hyperlink" Target="http://www.rosseti.ru/about/contacts/opinion/" TargetMode="External"/><Relationship Id="rId22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EC0F-5E22-4938-B5D3-53269E70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Taratuhina-AA</cp:lastModifiedBy>
  <cp:revision>66</cp:revision>
  <dcterms:created xsi:type="dcterms:W3CDTF">2025-01-16T03:18:00Z</dcterms:created>
  <dcterms:modified xsi:type="dcterms:W3CDTF">2026-07-30T08:41:11Z</dcterms:modified>
</cp:coreProperties>
</file>